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C4BAB" w14:textId="4324B459" w:rsidR="00393DAF" w:rsidRDefault="005E7EF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638081" wp14:editId="3414A702">
                <wp:simplePos x="0" y="0"/>
                <wp:positionH relativeFrom="column">
                  <wp:posOffset>2633345</wp:posOffset>
                </wp:positionH>
                <wp:positionV relativeFrom="paragraph">
                  <wp:posOffset>0</wp:posOffset>
                </wp:positionV>
                <wp:extent cx="3476625" cy="4572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B87EF" w14:textId="41E46D74" w:rsidR="005E7EFA" w:rsidRDefault="005E7EFA" w:rsidP="005E7EFA">
                            <w:pPr>
                              <w:pStyle w:val="Heading1"/>
                            </w:pPr>
                            <w:r>
                              <w:t xml:space="preserve">Lived Experience on </w:t>
                            </w:r>
                            <w:proofErr w:type="spellStart"/>
                            <w:r>
                              <w:t>nonprofit</w:t>
                            </w:r>
                            <w:proofErr w:type="spellEnd"/>
                            <w:r>
                              <w:t xml:space="preserve"> boards</w:t>
                            </w:r>
                          </w:p>
                          <w:p w14:paraId="7347C89D" w14:textId="23E82832" w:rsidR="005E7EFA" w:rsidRDefault="005E7E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6380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7.35pt;margin-top:0;width:273.75pt;height:3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" stroked="f">
                <v:textbox>
                  <w:txbxContent>
                    <w:p w14:paraId="546B87EF" w14:textId="41E46D74" w:rsidR="005E7EFA" w:rsidRDefault="005E7EFA" w:rsidP="005E7EFA">
                      <w:pPr>
                        <w:pStyle w:val="Heading1"/>
                      </w:pPr>
                      <w:r>
                        <w:t xml:space="preserve">Lived Experience on </w:t>
                      </w:r>
                      <w:proofErr w:type="spellStart"/>
                      <w:r>
                        <w:t>nonprofit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boards</w:t>
                      </w:r>
                      <w:proofErr w:type="gramEnd"/>
                    </w:p>
                    <w:p w14:paraId="7347C89D" w14:textId="23E82832" w:rsidR="005E7EFA" w:rsidRDefault="005E7EFA"/>
                  </w:txbxContent>
                </v:textbox>
                <w10:wrap type="square"/>
              </v:shape>
            </w:pict>
          </mc:Fallback>
        </mc:AlternateContent>
      </w:r>
    </w:p>
    <w:p w14:paraId="4AEFD1B0" w14:textId="475C8344" w:rsidR="00AA4075" w:rsidRDefault="00AA4075"/>
    <w:p w14:paraId="22874C2E" w14:textId="77777777" w:rsidR="008A6C2D" w:rsidRDefault="008A6C2D" w:rsidP="005E7EFA">
      <w:pPr>
        <w:pStyle w:val="Heading2"/>
      </w:pPr>
    </w:p>
    <w:p w14:paraId="419EBFA8" w14:textId="449BA7F5" w:rsidR="005E7EFA" w:rsidRPr="00555ABE" w:rsidRDefault="008A6C2D" w:rsidP="00063205">
      <w:pPr>
        <w:pStyle w:val="Heading2"/>
        <w:ind w:left="-567"/>
      </w:pPr>
      <w:r>
        <w:t>Creating a climate for inclusion:  a checklist for assessing good practice and addressing unhelpful behaviours</w:t>
      </w:r>
    </w:p>
    <w:p w14:paraId="05DC2469" w14:textId="022B75F0" w:rsidR="005E7EFA" w:rsidRDefault="005E7EFA" w:rsidP="008A6C2D">
      <w:pPr>
        <w:pStyle w:val="Heading2"/>
        <w:ind w:right="-286"/>
      </w:pPr>
    </w:p>
    <w:tbl>
      <w:tblPr>
        <w:tblStyle w:val="TableGrid"/>
        <w:tblW w:w="10207" w:type="dxa"/>
        <w:tblInd w:w="-572" w:type="dxa"/>
        <w:tblLook w:val="04A0" w:firstRow="1" w:lastRow="0" w:firstColumn="1" w:lastColumn="0" w:noHBand="0" w:noVBand="1"/>
      </w:tblPr>
      <w:tblGrid>
        <w:gridCol w:w="5240"/>
        <w:gridCol w:w="2273"/>
        <w:gridCol w:w="2694"/>
      </w:tblGrid>
      <w:tr w:rsidR="008A6C2D" w:rsidRPr="00940FFD" w14:paraId="188DD444" w14:textId="77777777" w:rsidTr="00063205">
        <w:trPr>
          <w:tblHeader/>
        </w:trPr>
        <w:tc>
          <w:tcPr>
            <w:tcW w:w="5240" w:type="dxa"/>
            <w:shd w:val="pct15" w:color="auto" w:fill="auto"/>
          </w:tcPr>
          <w:p w14:paraId="4339ECF8" w14:textId="77777777" w:rsidR="008A6C2D" w:rsidRPr="008A6C2D" w:rsidRDefault="008A6C2D" w:rsidP="00994B34">
            <w:pPr>
              <w:rPr>
                <w:rFonts w:cs="Arial"/>
                <w:b/>
                <w:bCs/>
              </w:rPr>
            </w:pPr>
            <w:r w:rsidRPr="008A6C2D">
              <w:rPr>
                <w:rFonts w:cs="Arial"/>
                <w:b/>
                <w:bCs/>
              </w:rPr>
              <w:t>Good practice &amp; process</w:t>
            </w:r>
          </w:p>
        </w:tc>
        <w:tc>
          <w:tcPr>
            <w:tcW w:w="2273" w:type="dxa"/>
            <w:shd w:val="pct15" w:color="auto" w:fill="auto"/>
          </w:tcPr>
          <w:p w14:paraId="2044C2DB" w14:textId="77777777" w:rsidR="008A6C2D" w:rsidRPr="008A6C2D" w:rsidRDefault="008A6C2D" w:rsidP="00994B34">
            <w:pPr>
              <w:rPr>
                <w:rFonts w:cs="Arial"/>
                <w:b/>
                <w:bCs/>
              </w:rPr>
            </w:pPr>
            <w:r w:rsidRPr="008A6C2D">
              <w:rPr>
                <w:rFonts w:cs="Arial"/>
                <w:b/>
                <w:bCs/>
              </w:rPr>
              <w:t>In place now</w:t>
            </w:r>
          </w:p>
        </w:tc>
        <w:tc>
          <w:tcPr>
            <w:tcW w:w="2694" w:type="dxa"/>
            <w:shd w:val="pct15" w:color="auto" w:fill="auto"/>
          </w:tcPr>
          <w:p w14:paraId="08F42075" w14:textId="77777777" w:rsidR="008A6C2D" w:rsidRPr="008A6C2D" w:rsidRDefault="008A6C2D" w:rsidP="00994B34">
            <w:pPr>
              <w:rPr>
                <w:rFonts w:cs="Arial"/>
                <w:b/>
                <w:bCs/>
              </w:rPr>
            </w:pPr>
            <w:r w:rsidRPr="008A6C2D">
              <w:rPr>
                <w:rFonts w:cs="Arial"/>
                <w:b/>
                <w:bCs/>
              </w:rPr>
              <w:t xml:space="preserve">Suggestions to strengthen </w:t>
            </w:r>
          </w:p>
        </w:tc>
      </w:tr>
      <w:tr w:rsidR="008A6C2D" w:rsidRPr="00940FFD" w14:paraId="19D03C9D" w14:textId="77777777" w:rsidTr="00063205">
        <w:tc>
          <w:tcPr>
            <w:tcW w:w="5240" w:type="dxa"/>
          </w:tcPr>
          <w:p w14:paraId="1414EB2E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References are taken up ahead of offering a trusteeship which check out how this person related to other members of the team / behaviours </w:t>
            </w:r>
          </w:p>
        </w:tc>
        <w:tc>
          <w:tcPr>
            <w:tcW w:w="2273" w:type="dxa"/>
          </w:tcPr>
          <w:p w14:paraId="018EF937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 </w:t>
            </w:r>
          </w:p>
        </w:tc>
        <w:tc>
          <w:tcPr>
            <w:tcW w:w="2694" w:type="dxa"/>
          </w:tcPr>
          <w:p w14:paraId="64FB5A9E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1B5C5F21" w14:textId="77777777" w:rsidTr="00063205">
        <w:tc>
          <w:tcPr>
            <w:tcW w:w="5240" w:type="dxa"/>
          </w:tcPr>
          <w:p w14:paraId="64B21079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The trustee role profile includes expectations about behaviours (linked to a Code of Conduct and organisational Values) including what might happen if not met </w:t>
            </w:r>
          </w:p>
        </w:tc>
        <w:tc>
          <w:tcPr>
            <w:tcW w:w="2273" w:type="dxa"/>
          </w:tcPr>
          <w:p w14:paraId="1E2EF010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09BC6431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4831F9ED" w14:textId="77777777" w:rsidTr="00063205">
        <w:tc>
          <w:tcPr>
            <w:tcW w:w="5240" w:type="dxa"/>
          </w:tcPr>
          <w:p w14:paraId="41BA38B9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>Co-option ahead of appointment to a full trusteeship to enable a check for behavioural / culture fit (as well as the necessary skills).</w:t>
            </w:r>
          </w:p>
        </w:tc>
        <w:tc>
          <w:tcPr>
            <w:tcW w:w="2273" w:type="dxa"/>
          </w:tcPr>
          <w:p w14:paraId="201EF2D7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5E56EF94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1B7BCC7C" w14:textId="77777777" w:rsidTr="00063205">
        <w:tc>
          <w:tcPr>
            <w:tcW w:w="5240" w:type="dxa"/>
          </w:tcPr>
          <w:p w14:paraId="404DC7EC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>An expectation of ‘probation’ for trusteeships built into the profile / Code</w:t>
            </w:r>
          </w:p>
        </w:tc>
        <w:tc>
          <w:tcPr>
            <w:tcW w:w="2273" w:type="dxa"/>
          </w:tcPr>
          <w:p w14:paraId="02FB85E0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064B8D63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245200AA" w14:textId="77777777" w:rsidTr="00063205">
        <w:tc>
          <w:tcPr>
            <w:tcW w:w="5240" w:type="dxa"/>
          </w:tcPr>
          <w:p w14:paraId="77608062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>Formal conversation between chair and a new trustee after 2 / 3 meetings re how getting on / fit etc. (and to answer any queries the new trustee may have)</w:t>
            </w:r>
          </w:p>
        </w:tc>
        <w:tc>
          <w:tcPr>
            <w:tcW w:w="2273" w:type="dxa"/>
          </w:tcPr>
          <w:p w14:paraId="4C2A2E44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093DD646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7244D44B" w14:textId="77777777" w:rsidTr="00063205">
        <w:tc>
          <w:tcPr>
            <w:tcW w:w="5240" w:type="dxa"/>
          </w:tcPr>
          <w:p w14:paraId="78F04D4D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Chair builds effective relationships with individual trustees, undertakes annual 121s and is clear that trustees should share concerns </w:t>
            </w:r>
          </w:p>
        </w:tc>
        <w:tc>
          <w:tcPr>
            <w:tcW w:w="2273" w:type="dxa"/>
          </w:tcPr>
          <w:p w14:paraId="35D2711E" w14:textId="77777777" w:rsidR="008A6C2D" w:rsidRPr="008A6C2D" w:rsidRDefault="008A6C2D" w:rsidP="00994B34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8A6C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</w:tcPr>
          <w:p w14:paraId="654A6656" w14:textId="77777777" w:rsidR="008A6C2D" w:rsidRPr="008A6C2D" w:rsidRDefault="008A6C2D" w:rsidP="00994B34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6C2D" w:rsidRPr="00940FFD" w14:paraId="1AE1721F" w14:textId="77777777" w:rsidTr="00063205">
        <w:tc>
          <w:tcPr>
            <w:tcW w:w="5240" w:type="dxa"/>
          </w:tcPr>
          <w:p w14:paraId="55914665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Chair’s role profile includes an expectation that they will monitor the performance of the board including addressing poor behaviour </w:t>
            </w:r>
          </w:p>
        </w:tc>
        <w:tc>
          <w:tcPr>
            <w:tcW w:w="2273" w:type="dxa"/>
          </w:tcPr>
          <w:p w14:paraId="414661FD" w14:textId="77777777" w:rsidR="008A6C2D" w:rsidRPr="008A6C2D" w:rsidRDefault="008A6C2D" w:rsidP="00994B34">
            <w:pPr>
              <w:pStyle w:val="NormalWeb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442A03D2" w14:textId="77777777" w:rsidR="008A6C2D" w:rsidRPr="008A6C2D" w:rsidRDefault="008A6C2D" w:rsidP="00994B34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6C2D" w:rsidRPr="00940FFD" w14:paraId="2BAC5DEC" w14:textId="77777777" w:rsidTr="00063205">
        <w:tc>
          <w:tcPr>
            <w:tcW w:w="5240" w:type="dxa"/>
          </w:tcPr>
          <w:p w14:paraId="55E3D924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>There’s a VC role – which acts as a SID – to whom other trustees can go if they have concerns (about the chair or other trustees) and if the latter, if they’d prefer not to speak to the chair</w:t>
            </w:r>
          </w:p>
        </w:tc>
        <w:tc>
          <w:tcPr>
            <w:tcW w:w="2273" w:type="dxa"/>
          </w:tcPr>
          <w:p w14:paraId="210E17AA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34AEA994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7D8671EA" w14:textId="77777777" w:rsidTr="00063205">
        <w:tc>
          <w:tcPr>
            <w:tcW w:w="5240" w:type="dxa"/>
          </w:tcPr>
          <w:p w14:paraId="0E9BE155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Values are translated into behaviours relating to governance; there are regular conversations about ‘how we’ve behaved as a board’ in modelling those values </w:t>
            </w:r>
          </w:p>
        </w:tc>
        <w:tc>
          <w:tcPr>
            <w:tcW w:w="2273" w:type="dxa"/>
          </w:tcPr>
          <w:p w14:paraId="0D202F02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26B80AE3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1D6DBD50" w14:textId="77777777" w:rsidTr="00063205">
        <w:tc>
          <w:tcPr>
            <w:tcW w:w="5240" w:type="dxa"/>
          </w:tcPr>
          <w:p w14:paraId="29CD1AD7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The board has regular conversations about the organisational culture it seeks to engender and assesses the board against this expectation </w:t>
            </w:r>
          </w:p>
        </w:tc>
        <w:tc>
          <w:tcPr>
            <w:tcW w:w="2273" w:type="dxa"/>
          </w:tcPr>
          <w:p w14:paraId="3C8B7542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4D1E45EF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197E6C9C" w14:textId="77777777" w:rsidTr="00063205">
        <w:tc>
          <w:tcPr>
            <w:tcW w:w="5240" w:type="dxa"/>
          </w:tcPr>
          <w:p w14:paraId="16047796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The chair is subject to annual performance review (led by the VC or another trustee) with opportunities for other trustees and the executive to feed in views </w:t>
            </w:r>
          </w:p>
        </w:tc>
        <w:tc>
          <w:tcPr>
            <w:tcW w:w="2273" w:type="dxa"/>
          </w:tcPr>
          <w:p w14:paraId="446C80F2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119B9A62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727AF9E3" w14:textId="77777777" w:rsidTr="00063205">
        <w:tc>
          <w:tcPr>
            <w:tcW w:w="5240" w:type="dxa"/>
          </w:tcPr>
          <w:p w14:paraId="22194955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lastRenderedPageBreak/>
              <w:t xml:space="preserve">There are expectations (in a Code of Conduct, role profile, Values statements etc.) that trustees will call out poor behaviour and maintain desired culture </w:t>
            </w:r>
          </w:p>
        </w:tc>
        <w:tc>
          <w:tcPr>
            <w:tcW w:w="2273" w:type="dxa"/>
          </w:tcPr>
          <w:p w14:paraId="3F1EFF3F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2332E4A9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702FE264" w14:textId="77777777" w:rsidTr="00063205">
        <w:tc>
          <w:tcPr>
            <w:tcW w:w="5240" w:type="dxa"/>
          </w:tcPr>
          <w:p w14:paraId="72D17924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There’s a whistle blowing procedure that covers trustees including the chair </w:t>
            </w:r>
          </w:p>
        </w:tc>
        <w:tc>
          <w:tcPr>
            <w:tcW w:w="2273" w:type="dxa"/>
          </w:tcPr>
          <w:p w14:paraId="692147B2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3CC86DFA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4B6CBFA4" w14:textId="77777777" w:rsidTr="00063205">
        <w:tc>
          <w:tcPr>
            <w:tcW w:w="5240" w:type="dxa"/>
          </w:tcPr>
          <w:p w14:paraId="780CF69C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>The chair undertakes annual 121s with trustees where behaviours are explored</w:t>
            </w:r>
          </w:p>
        </w:tc>
        <w:tc>
          <w:tcPr>
            <w:tcW w:w="2273" w:type="dxa"/>
          </w:tcPr>
          <w:p w14:paraId="245DA83F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380C502E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 </w:t>
            </w:r>
          </w:p>
        </w:tc>
      </w:tr>
      <w:tr w:rsidR="008A6C2D" w:rsidRPr="00940FFD" w14:paraId="245C4062" w14:textId="77777777" w:rsidTr="00063205">
        <w:tc>
          <w:tcPr>
            <w:tcW w:w="5240" w:type="dxa"/>
          </w:tcPr>
          <w:p w14:paraId="2600C2A2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There are opportunities for trustees to provide peer feedback on trustee colleagues (e.g. during the annual 121s with the chair) </w:t>
            </w:r>
          </w:p>
        </w:tc>
        <w:tc>
          <w:tcPr>
            <w:tcW w:w="2273" w:type="dxa"/>
          </w:tcPr>
          <w:p w14:paraId="06378258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1A901402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1D8E1856" w14:textId="77777777" w:rsidTr="00063205">
        <w:tc>
          <w:tcPr>
            <w:tcW w:w="5240" w:type="dxa"/>
          </w:tcPr>
          <w:p w14:paraId="021EB72A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>There is a performance review process ahead of re-appointment to a 2</w:t>
            </w:r>
            <w:r w:rsidRPr="008A6C2D">
              <w:rPr>
                <w:rFonts w:cs="Arial"/>
                <w:vertAlign w:val="superscript"/>
              </w:rPr>
              <w:t xml:space="preserve">nd </w:t>
            </w:r>
            <w:r w:rsidRPr="008A6C2D">
              <w:rPr>
                <w:rFonts w:cs="Arial"/>
              </w:rPr>
              <w:t xml:space="preserve">etc. term of office </w:t>
            </w:r>
          </w:p>
        </w:tc>
        <w:tc>
          <w:tcPr>
            <w:tcW w:w="2273" w:type="dxa"/>
          </w:tcPr>
          <w:p w14:paraId="6F656547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1FEB3648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4014E797" w14:textId="77777777" w:rsidTr="00063205">
        <w:tc>
          <w:tcPr>
            <w:tcW w:w="5240" w:type="dxa"/>
          </w:tcPr>
          <w:p w14:paraId="6F486D36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The executive has opportunities to feedback on the performance of the chair, other trustees including the CE   </w:t>
            </w:r>
          </w:p>
        </w:tc>
        <w:tc>
          <w:tcPr>
            <w:tcW w:w="2273" w:type="dxa"/>
          </w:tcPr>
          <w:p w14:paraId="4892A5E1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3CF28CEB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3D8158DA" w14:textId="77777777" w:rsidTr="00063205">
        <w:tc>
          <w:tcPr>
            <w:tcW w:w="5240" w:type="dxa"/>
          </w:tcPr>
          <w:p w14:paraId="7D056BFC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The chair addresses poor behaviour at the time it happens </w:t>
            </w:r>
          </w:p>
        </w:tc>
        <w:tc>
          <w:tcPr>
            <w:tcW w:w="2273" w:type="dxa"/>
          </w:tcPr>
          <w:p w14:paraId="540CA479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040E8E9A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52B4B65C" w14:textId="77777777" w:rsidTr="00063205">
        <w:tc>
          <w:tcPr>
            <w:tcW w:w="5240" w:type="dxa"/>
          </w:tcPr>
          <w:p w14:paraId="263A71CC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Trustees call out poor behaviour at the time it happens </w:t>
            </w:r>
          </w:p>
        </w:tc>
        <w:tc>
          <w:tcPr>
            <w:tcW w:w="2273" w:type="dxa"/>
          </w:tcPr>
          <w:p w14:paraId="2B2C6758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61855257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03A2E3AF" w14:textId="77777777" w:rsidTr="00063205">
        <w:tc>
          <w:tcPr>
            <w:tcW w:w="5240" w:type="dxa"/>
          </w:tcPr>
          <w:p w14:paraId="79C4D0B1" w14:textId="77777777" w:rsidR="008A6C2D" w:rsidRPr="008A6C2D" w:rsidRDefault="008A6C2D" w:rsidP="00994B34">
            <w:pPr>
              <w:rPr>
                <w:rFonts w:cs="Arial"/>
                <w:b/>
                <w:bCs/>
              </w:rPr>
            </w:pPr>
            <w:r w:rsidRPr="008A6C2D">
              <w:rPr>
                <w:rFonts w:cs="Arial"/>
              </w:rPr>
              <w:t xml:space="preserve">Having a Code of Conduct non-compliance procedure; </w:t>
            </w:r>
            <w:r w:rsidRPr="008A6C2D">
              <w:rPr>
                <w:rFonts w:cs="Arial"/>
                <w:i/>
                <w:iCs/>
              </w:rPr>
              <w:t xml:space="preserve">see ICSA (July 2018) for an example of a specimen Code of Conduct  </w:t>
            </w:r>
          </w:p>
        </w:tc>
        <w:tc>
          <w:tcPr>
            <w:tcW w:w="2273" w:type="dxa"/>
          </w:tcPr>
          <w:p w14:paraId="0E871E60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70A4F6F4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586D7B77" w14:textId="77777777" w:rsidTr="00063205">
        <w:tc>
          <w:tcPr>
            <w:tcW w:w="5240" w:type="dxa"/>
          </w:tcPr>
          <w:p w14:paraId="1B055990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 xml:space="preserve">The Articles include a provision to terminate a trustee’s term of office </w:t>
            </w:r>
          </w:p>
        </w:tc>
        <w:tc>
          <w:tcPr>
            <w:tcW w:w="2273" w:type="dxa"/>
          </w:tcPr>
          <w:p w14:paraId="3749AA80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201ECB64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4A3493FB" w14:textId="77777777" w:rsidTr="00063205">
        <w:tc>
          <w:tcPr>
            <w:tcW w:w="5240" w:type="dxa"/>
          </w:tcPr>
          <w:p w14:paraId="7B2670A6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>There are exit interviews when a trustee steps down or resigns as part of succession planning and board development</w:t>
            </w:r>
          </w:p>
        </w:tc>
        <w:tc>
          <w:tcPr>
            <w:tcW w:w="2273" w:type="dxa"/>
          </w:tcPr>
          <w:p w14:paraId="0CBC8A24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380C480B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  <w:tr w:rsidR="008A6C2D" w:rsidRPr="00940FFD" w14:paraId="7E197D9F" w14:textId="77777777" w:rsidTr="00063205">
        <w:trPr>
          <w:trHeight w:val="416"/>
        </w:trPr>
        <w:tc>
          <w:tcPr>
            <w:tcW w:w="5240" w:type="dxa"/>
          </w:tcPr>
          <w:p w14:paraId="5E1DD0AF" w14:textId="77777777" w:rsidR="008A6C2D" w:rsidRPr="008A6C2D" w:rsidRDefault="008A6C2D" w:rsidP="00994B34">
            <w:pPr>
              <w:rPr>
                <w:rFonts w:cs="Arial"/>
              </w:rPr>
            </w:pPr>
            <w:r w:rsidRPr="008A6C2D">
              <w:rPr>
                <w:rFonts w:cs="Arial"/>
              </w:rPr>
              <w:t>The grievance procedure includes grievances against trustees</w:t>
            </w:r>
          </w:p>
        </w:tc>
        <w:tc>
          <w:tcPr>
            <w:tcW w:w="2273" w:type="dxa"/>
          </w:tcPr>
          <w:p w14:paraId="38DBB4DF" w14:textId="77777777" w:rsidR="008A6C2D" w:rsidRPr="008A6C2D" w:rsidRDefault="008A6C2D" w:rsidP="00994B34">
            <w:pPr>
              <w:rPr>
                <w:rFonts w:cs="Arial"/>
              </w:rPr>
            </w:pPr>
          </w:p>
        </w:tc>
        <w:tc>
          <w:tcPr>
            <w:tcW w:w="2694" w:type="dxa"/>
          </w:tcPr>
          <w:p w14:paraId="5FB6AD0C" w14:textId="77777777" w:rsidR="008A6C2D" w:rsidRPr="008A6C2D" w:rsidRDefault="008A6C2D" w:rsidP="00994B34">
            <w:pPr>
              <w:rPr>
                <w:rFonts w:cs="Arial"/>
              </w:rPr>
            </w:pPr>
          </w:p>
        </w:tc>
      </w:tr>
    </w:tbl>
    <w:p w14:paraId="396CF4E8" w14:textId="77777777" w:rsidR="008A6C2D" w:rsidRDefault="008A6C2D" w:rsidP="001F18F0">
      <w:pPr>
        <w:rPr>
          <w:rFonts w:cs="Arial"/>
          <w:color w:val="000000" w:themeColor="text1"/>
        </w:rPr>
      </w:pPr>
    </w:p>
    <w:sectPr w:rsidR="008A6C2D" w:rsidSect="00AC132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418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39AB77" w14:textId="77777777" w:rsidR="00275B20" w:rsidRDefault="00275B20" w:rsidP="00AA4075">
      <w:pPr>
        <w:spacing w:line="240" w:lineRule="auto"/>
      </w:pPr>
      <w:r>
        <w:separator/>
      </w:r>
    </w:p>
  </w:endnote>
  <w:endnote w:type="continuationSeparator" w:id="0">
    <w:p w14:paraId="2E93B551" w14:textId="77777777" w:rsidR="00275B20" w:rsidRDefault="00275B20" w:rsidP="00AA40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158424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8FC9BB" w14:textId="77777777" w:rsidR="00693640" w:rsidRDefault="006936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50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3ABB57" w14:textId="77777777" w:rsidR="00693640" w:rsidRDefault="006936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948942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CDD161" w14:textId="77777777" w:rsidR="00693640" w:rsidRDefault="006936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13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5E6261E" w14:textId="77777777" w:rsidR="00693640" w:rsidRDefault="006936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030263" w14:textId="77777777" w:rsidR="00275B20" w:rsidRDefault="00275B20" w:rsidP="00AA4075">
      <w:pPr>
        <w:spacing w:line="240" w:lineRule="auto"/>
      </w:pPr>
      <w:r>
        <w:separator/>
      </w:r>
    </w:p>
  </w:footnote>
  <w:footnote w:type="continuationSeparator" w:id="0">
    <w:p w14:paraId="63E3C7E3" w14:textId="77777777" w:rsidR="00275B20" w:rsidRDefault="00275B20" w:rsidP="00AA40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DDFC0" w14:textId="77777777" w:rsidR="00AA4075" w:rsidRDefault="00AA4075" w:rsidP="00AA4075">
    <w:pPr>
      <w:pStyle w:val="Header"/>
      <w:ind w:right="-142"/>
      <w:jc w:val="right"/>
      <w:rPr>
        <w:b/>
        <w:bCs/>
      </w:rPr>
    </w:pPr>
    <w:r w:rsidRPr="00C14ABF">
      <w:rPr>
        <w:rFonts w:cs="Arial"/>
        <w:b/>
        <w:bCs/>
      </w:rPr>
      <w:t>Centre for Charity Effectiveness</w:t>
    </w:r>
  </w:p>
  <w:p w14:paraId="37ADB22D" w14:textId="77777777" w:rsidR="00AA4075" w:rsidRPr="001223D9" w:rsidRDefault="00AA4075" w:rsidP="00AA4075">
    <w:pPr>
      <w:pStyle w:val="Header"/>
      <w:ind w:right="-142"/>
      <w:jc w:val="right"/>
      <w:rPr>
        <w:b/>
      </w:rPr>
    </w:pPr>
    <w:r w:rsidRPr="00C14ABF">
      <w:rPr>
        <w:rFonts w:cs="Arial"/>
        <w:b/>
        <w:i/>
        <w:iCs/>
        <w:color w:val="808080"/>
        <w:sz w:val="16"/>
        <w:szCs w:val="16"/>
        <w:lang w:val="en-US"/>
      </w:rPr>
      <w:t>Intellectual leadership: developing talent, enhancing performance</w:t>
    </w:r>
  </w:p>
  <w:p w14:paraId="1D9931A1" w14:textId="77777777" w:rsidR="00AA4075" w:rsidRDefault="00AA4075" w:rsidP="00AA4075">
    <w:pPr>
      <w:pStyle w:val="Header"/>
    </w:pPr>
  </w:p>
  <w:p w14:paraId="1911B9B1" w14:textId="77777777" w:rsidR="00AA4075" w:rsidRPr="00AA4075" w:rsidRDefault="00AA4075" w:rsidP="00AA40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979CCC" w14:textId="77777777" w:rsidR="00AA4075" w:rsidRDefault="00987BC6" w:rsidP="00AA4075">
    <w:pPr>
      <w:pStyle w:val="Header"/>
      <w:ind w:right="-142"/>
      <w:jc w:val="right"/>
      <w:rPr>
        <w:b/>
        <w:bCs/>
      </w:rPr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7BC8FA70" wp14:editId="5A8BE9F8">
          <wp:simplePos x="0" y="0"/>
          <wp:positionH relativeFrom="column">
            <wp:posOffset>-755650</wp:posOffset>
          </wp:positionH>
          <wp:positionV relativeFrom="paragraph">
            <wp:posOffset>-335280</wp:posOffset>
          </wp:positionV>
          <wp:extent cx="1325880" cy="1325880"/>
          <wp:effectExtent l="0" t="0" r="7620" b="7620"/>
          <wp:wrapNone/>
          <wp:docPr id="2" name="Picture 2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ell pho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880" cy="1325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4075" w:rsidRPr="00C14ABF">
      <w:rPr>
        <w:rFonts w:cs="Arial"/>
        <w:b/>
        <w:bCs/>
      </w:rPr>
      <w:t>Centre for Charity Effectiveness</w:t>
    </w:r>
  </w:p>
  <w:p w14:paraId="0E672357" w14:textId="77777777" w:rsidR="00AA4075" w:rsidRPr="001223D9" w:rsidRDefault="00AA4075" w:rsidP="00AA4075">
    <w:pPr>
      <w:pStyle w:val="Header"/>
      <w:ind w:right="-142"/>
      <w:jc w:val="right"/>
      <w:rPr>
        <w:b/>
      </w:rPr>
    </w:pPr>
    <w:r w:rsidRPr="00C14ABF">
      <w:rPr>
        <w:rFonts w:cs="Arial"/>
        <w:b/>
        <w:i/>
        <w:iCs/>
        <w:color w:val="808080"/>
        <w:sz w:val="16"/>
        <w:szCs w:val="16"/>
        <w:lang w:val="en-US"/>
      </w:rPr>
      <w:t>Intellectual leadership: developing talent, enhancing performance</w:t>
    </w:r>
  </w:p>
  <w:p w14:paraId="25C3835E" w14:textId="77777777" w:rsidR="00AA4075" w:rsidRDefault="00AA4075" w:rsidP="00AA4075">
    <w:pPr>
      <w:pStyle w:val="Header"/>
    </w:pPr>
  </w:p>
  <w:p w14:paraId="589380EB" w14:textId="77777777" w:rsidR="00AA4075" w:rsidRDefault="00AA4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945F42"/>
    <w:multiLevelType w:val="hybridMultilevel"/>
    <w:tmpl w:val="5A5C118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F100E31"/>
    <w:multiLevelType w:val="hybridMultilevel"/>
    <w:tmpl w:val="4BC2A7E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59D34FD"/>
    <w:multiLevelType w:val="hybridMultilevel"/>
    <w:tmpl w:val="1CD47670"/>
    <w:lvl w:ilvl="0" w:tplc="98B4D99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004EA"/>
    <w:multiLevelType w:val="hybridMultilevel"/>
    <w:tmpl w:val="823C9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14642"/>
    <w:multiLevelType w:val="hybridMultilevel"/>
    <w:tmpl w:val="CBECAD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722612"/>
    <w:multiLevelType w:val="hybridMultilevel"/>
    <w:tmpl w:val="6A7A3B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292CA4"/>
    <w:multiLevelType w:val="hybridMultilevel"/>
    <w:tmpl w:val="76180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075"/>
    <w:rsid w:val="00063205"/>
    <w:rsid w:val="00175492"/>
    <w:rsid w:val="001F18F0"/>
    <w:rsid w:val="00275B20"/>
    <w:rsid w:val="002A44D3"/>
    <w:rsid w:val="00393DAF"/>
    <w:rsid w:val="0050627F"/>
    <w:rsid w:val="005A7A58"/>
    <w:rsid w:val="005D017C"/>
    <w:rsid w:val="005D4934"/>
    <w:rsid w:val="005E7EFA"/>
    <w:rsid w:val="006639DF"/>
    <w:rsid w:val="00693640"/>
    <w:rsid w:val="007B2CFE"/>
    <w:rsid w:val="00821C9E"/>
    <w:rsid w:val="008A6C2D"/>
    <w:rsid w:val="00935D48"/>
    <w:rsid w:val="00987BC6"/>
    <w:rsid w:val="009B5A67"/>
    <w:rsid w:val="009F76F8"/>
    <w:rsid w:val="00A36433"/>
    <w:rsid w:val="00AA4075"/>
    <w:rsid w:val="00AC1328"/>
    <w:rsid w:val="00B13444"/>
    <w:rsid w:val="00C250F4"/>
    <w:rsid w:val="00C2649C"/>
    <w:rsid w:val="00C4719D"/>
    <w:rsid w:val="00CA73C3"/>
    <w:rsid w:val="00CB5468"/>
    <w:rsid w:val="00D6426B"/>
    <w:rsid w:val="00DE14AA"/>
    <w:rsid w:val="00DE20C9"/>
    <w:rsid w:val="00FC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63A394"/>
  <w15:chartTrackingRefBased/>
  <w15:docId w15:val="{8F7EF29D-82F8-46A0-85AB-94CA1684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C9E"/>
    <w:pPr>
      <w:spacing w:after="0" w:line="276" w:lineRule="auto"/>
    </w:pPr>
    <w:rPr>
      <w:rFonts w:ascii="Arial" w:hAnsi="Arial"/>
    </w:rPr>
  </w:style>
  <w:style w:type="paragraph" w:styleId="Heading1">
    <w:name w:val="heading 1"/>
    <w:aliases w:val="CCE 1 Heading"/>
    <w:basedOn w:val="Normal"/>
    <w:next w:val="Normal"/>
    <w:link w:val="Heading1Char"/>
    <w:qFormat/>
    <w:rsid w:val="00C2649C"/>
    <w:pPr>
      <w:keepNext/>
      <w:keepLines/>
      <w:spacing w:before="120" w:after="120"/>
      <w:outlineLvl w:val="0"/>
    </w:pPr>
    <w:rPr>
      <w:rFonts w:eastAsiaTheme="majorEastAsia" w:cstheme="majorBidi"/>
      <w:b/>
      <w:color w:val="000099"/>
      <w:sz w:val="28"/>
      <w:szCs w:val="24"/>
      <w:lang w:eastAsia="en-GB"/>
    </w:rPr>
  </w:style>
  <w:style w:type="paragraph" w:styleId="Heading2">
    <w:name w:val="heading 2"/>
    <w:aliases w:val="CCE 2 Heading"/>
    <w:basedOn w:val="Normal"/>
    <w:next w:val="Normal"/>
    <w:link w:val="Heading2Char"/>
    <w:uiPriority w:val="9"/>
    <w:unhideWhenUsed/>
    <w:qFormat/>
    <w:rsid w:val="00DE20C9"/>
    <w:pPr>
      <w:keepNext/>
      <w:keepLines/>
      <w:spacing w:before="40"/>
      <w:outlineLvl w:val="1"/>
    </w:pPr>
    <w:rPr>
      <w:rFonts w:eastAsiaTheme="majorEastAsia" w:cstheme="majorBidi"/>
      <w:b/>
      <w:color w:val="000099"/>
      <w:sz w:val="24"/>
      <w:szCs w:val="26"/>
    </w:rPr>
  </w:style>
  <w:style w:type="paragraph" w:styleId="Heading3">
    <w:name w:val="heading 3"/>
    <w:aliases w:val="CCE 3 Heading"/>
    <w:basedOn w:val="Normal"/>
    <w:next w:val="Normal"/>
    <w:link w:val="Heading3Char"/>
    <w:uiPriority w:val="9"/>
    <w:unhideWhenUsed/>
    <w:qFormat/>
    <w:rsid w:val="00DE20C9"/>
    <w:pPr>
      <w:keepNext/>
      <w:keepLines/>
      <w:spacing w:before="40"/>
      <w:outlineLvl w:val="2"/>
    </w:pPr>
    <w:rPr>
      <w:rFonts w:eastAsiaTheme="majorEastAsia" w:cstheme="majorBidi"/>
      <w:b/>
      <w:color w:val="000099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CE 1 Heading Char"/>
    <w:basedOn w:val="DefaultParagraphFont"/>
    <w:link w:val="Heading1"/>
    <w:rsid w:val="00C2649C"/>
    <w:rPr>
      <w:rFonts w:ascii="Arial" w:eastAsiaTheme="majorEastAsia" w:hAnsi="Arial" w:cstheme="majorBidi"/>
      <w:b/>
      <w:color w:val="000099"/>
      <w:sz w:val="28"/>
      <w:szCs w:val="24"/>
      <w:lang w:eastAsia="en-GB"/>
    </w:rPr>
  </w:style>
  <w:style w:type="character" w:customStyle="1" w:styleId="Heading2Char">
    <w:name w:val="Heading 2 Char"/>
    <w:aliases w:val="CCE 2 Heading Char"/>
    <w:basedOn w:val="DefaultParagraphFont"/>
    <w:link w:val="Heading2"/>
    <w:uiPriority w:val="9"/>
    <w:rsid w:val="00DE20C9"/>
    <w:rPr>
      <w:rFonts w:ascii="Arial" w:eastAsiaTheme="majorEastAsia" w:hAnsi="Arial" w:cstheme="majorBidi"/>
      <w:b/>
      <w:color w:val="000099"/>
      <w:sz w:val="24"/>
      <w:szCs w:val="26"/>
    </w:rPr>
  </w:style>
  <w:style w:type="character" w:customStyle="1" w:styleId="Heading3Char">
    <w:name w:val="Heading 3 Char"/>
    <w:aliases w:val="CCE 3 Heading Char"/>
    <w:basedOn w:val="DefaultParagraphFont"/>
    <w:link w:val="Heading3"/>
    <w:uiPriority w:val="9"/>
    <w:rsid w:val="00DE20C9"/>
    <w:rPr>
      <w:rFonts w:ascii="Arial" w:eastAsiaTheme="majorEastAsia" w:hAnsi="Arial" w:cstheme="majorBidi"/>
      <w:b/>
      <w:color w:val="000099"/>
      <w:szCs w:val="24"/>
    </w:rPr>
  </w:style>
  <w:style w:type="paragraph" w:styleId="Header">
    <w:name w:val="header"/>
    <w:basedOn w:val="Normal"/>
    <w:link w:val="HeaderChar"/>
    <w:uiPriority w:val="99"/>
    <w:unhideWhenUsed/>
    <w:rsid w:val="00AA407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07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AA407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075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CA73C3"/>
    <w:pPr>
      <w:spacing w:after="160" w:line="259" w:lineRule="auto"/>
      <w:ind w:left="720"/>
      <w:contextualSpacing/>
    </w:pPr>
    <w:rPr>
      <w:rFonts w:asciiTheme="minorHAnsi" w:hAnsiTheme="minorHAnsi"/>
      <w:lang w:val="en-US"/>
    </w:rPr>
  </w:style>
  <w:style w:type="paragraph" w:customStyle="1" w:styleId="Default">
    <w:name w:val="Default"/>
    <w:rsid w:val="005D01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A44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44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546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A6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A6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64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Max Sayer</dc:creator>
  <cp:keywords/>
  <dc:description/>
  <cp:lastModifiedBy>Lupton, Emily</cp:lastModifiedBy>
  <cp:revision>2</cp:revision>
  <cp:lastPrinted>2021-03-09T13:52:00Z</cp:lastPrinted>
  <dcterms:created xsi:type="dcterms:W3CDTF">2021-03-18T16:43:00Z</dcterms:created>
  <dcterms:modified xsi:type="dcterms:W3CDTF">2021-03-18T16:43:00Z</dcterms:modified>
</cp:coreProperties>
</file>